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47" w:rsidRPr="00E71DB8" w:rsidRDefault="003F7747" w:rsidP="003F7747">
      <w:pPr>
        <w:pStyle w:val="Default"/>
        <w:spacing w:after="120"/>
        <w:ind w:left="360"/>
        <w:rPr>
          <w:b/>
          <w:bCs/>
          <w:u w:val="single"/>
        </w:rPr>
      </w:pPr>
      <w:bookmarkStart w:id="0" w:name="_GoBack"/>
      <w:bookmarkEnd w:id="0"/>
      <w:r w:rsidRPr="00E71DB8">
        <w:rPr>
          <w:b/>
          <w:bCs/>
          <w:u w:val="single"/>
        </w:rPr>
        <w:t>Cleaning Spill/Breakage inside</w:t>
      </w:r>
      <w:r w:rsidR="002B63D3" w:rsidRPr="00E71DB8">
        <w:rPr>
          <w:b/>
          <w:bCs/>
          <w:u w:val="single"/>
        </w:rPr>
        <w:t xml:space="preserve"> the</w:t>
      </w:r>
      <w:r w:rsidRPr="00E71DB8">
        <w:rPr>
          <w:b/>
          <w:bCs/>
          <w:u w:val="single"/>
        </w:rPr>
        <w:t xml:space="preserve"> Centrifuge </w:t>
      </w:r>
    </w:p>
    <w:p w:rsidR="003F7747" w:rsidRDefault="003F7747" w:rsidP="003F7747">
      <w:pPr>
        <w:pStyle w:val="Default"/>
        <w:spacing w:after="120"/>
        <w:ind w:left="360"/>
        <w:rPr>
          <w:b/>
          <w:bCs/>
          <w:sz w:val="22"/>
          <w:szCs w:val="22"/>
        </w:rPr>
      </w:pPr>
    </w:p>
    <w:p w:rsidR="003F7747" w:rsidRDefault="003F7747" w:rsidP="003F7747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1.1  Personal Protective Equipment (PPE) </w:t>
      </w:r>
    </w:p>
    <w:p w:rsidR="005C4DD3" w:rsidRPr="006F0FF5" w:rsidRDefault="00CF5FA2" w:rsidP="005C4DD3">
      <w:pPr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Assess risks associated with the cleaning procedure prior to starting</w:t>
      </w:r>
      <w:r w:rsidR="005C4DD3">
        <w:rPr>
          <w:sz w:val="22"/>
          <w:szCs w:val="22"/>
        </w:rPr>
        <w:t xml:space="preserve"> </w:t>
      </w:r>
      <w:r>
        <w:rPr>
          <w:sz w:val="22"/>
          <w:szCs w:val="22"/>
        </w:rPr>
        <w:t>and decide on</w:t>
      </w:r>
      <w:r w:rsidR="005C4DD3">
        <w:rPr>
          <w:sz w:val="22"/>
          <w:szCs w:val="22"/>
        </w:rPr>
        <w:t xml:space="preserve"> appropriate PPE.</w:t>
      </w:r>
    </w:p>
    <w:p w:rsidR="003F7747" w:rsidRDefault="00CF5FA2" w:rsidP="008E5710">
      <w:pPr>
        <w:pStyle w:val="Default"/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It is compulsory to wear l</w:t>
      </w:r>
      <w:r w:rsidR="003F7747">
        <w:rPr>
          <w:sz w:val="22"/>
          <w:szCs w:val="22"/>
        </w:rPr>
        <w:t>abo</w:t>
      </w:r>
      <w:r w:rsidR="005400EE">
        <w:rPr>
          <w:sz w:val="22"/>
          <w:szCs w:val="22"/>
        </w:rPr>
        <w:t xml:space="preserve">ratory coat, gloves and goggles </w:t>
      </w:r>
      <w:r w:rsidR="003F7747" w:rsidRPr="008E5710">
        <w:rPr>
          <w:sz w:val="22"/>
          <w:szCs w:val="22"/>
        </w:rPr>
        <w:t>at all times when handling blood</w:t>
      </w:r>
      <w:r w:rsidR="008E5710">
        <w:rPr>
          <w:sz w:val="22"/>
          <w:szCs w:val="22"/>
        </w:rPr>
        <w:t>/human</w:t>
      </w:r>
      <w:r>
        <w:rPr>
          <w:sz w:val="22"/>
          <w:szCs w:val="22"/>
        </w:rPr>
        <w:t xml:space="preserve"> products within the Lab.</w:t>
      </w:r>
    </w:p>
    <w:p w:rsidR="003F7747" w:rsidRPr="001E77FD" w:rsidRDefault="003F7747" w:rsidP="00CF5FA2">
      <w:pPr>
        <w:pStyle w:val="Default"/>
        <w:spacing w:after="120"/>
        <w:ind w:left="720"/>
        <w:rPr>
          <w:sz w:val="22"/>
          <w:szCs w:val="22"/>
        </w:rPr>
      </w:pPr>
    </w:p>
    <w:p w:rsidR="003F7747" w:rsidRDefault="003F7747" w:rsidP="003F7747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1.2  </w:t>
      </w:r>
      <w:r w:rsidR="002B63D3">
        <w:rPr>
          <w:b/>
          <w:bCs/>
          <w:sz w:val="22"/>
          <w:szCs w:val="22"/>
        </w:rPr>
        <w:t>Proce</w:t>
      </w:r>
      <w:r>
        <w:rPr>
          <w:b/>
          <w:bCs/>
          <w:sz w:val="22"/>
          <w:szCs w:val="22"/>
        </w:rPr>
        <w:t>dure</w:t>
      </w:r>
    </w:p>
    <w:p w:rsidR="008E5710" w:rsidRDefault="003F7747" w:rsidP="00BE2D72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8E5710">
        <w:rPr>
          <w:sz w:val="22"/>
          <w:szCs w:val="22"/>
        </w:rPr>
        <w:t>Sample loads must be balanced to avoid vibrat</w:t>
      </w:r>
      <w:r w:rsidR="008E5710">
        <w:rPr>
          <w:sz w:val="22"/>
          <w:szCs w:val="22"/>
        </w:rPr>
        <w:t>ion and samples being dislodged/ breaking.</w:t>
      </w:r>
    </w:p>
    <w:p w:rsidR="003F7747" w:rsidRPr="008E5710" w:rsidRDefault="008E5710" w:rsidP="00BE2D72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The user should</w:t>
      </w:r>
      <w:r w:rsidR="003F7747" w:rsidRPr="008E5710">
        <w:rPr>
          <w:sz w:val="22"/>
          <w:szCs w:val="22"/>
        </w:rPr>
        <w:t xml:space="preserve"> not leave the centrifuge</w:t>
      </w:r>
      <w:r w:rsidR="005C4DD3">
        <w:rPr>
          <w:sz w:val="22"/>
          <w:szCs w:val="22"/>
        </w:rPr>
        <w:t>,</w:t>
      </w:r>
      <w:r w:rsidR="003F7747" w:rsidRPr="008E5710">
        <w:rPr>
          <w:sz w:val="22"/>
          <w:szCs w:val="22"/>
        </w:rPr>
        <w:t xml:space="preserve"> until full operating speed is attained and </w:t>
      </w:r>
      <w:r>
        <w:rPr>
          <w:sz w:val="22"/>
          <w:szCs w:val="22"/>
        </w:rPr>
        <w:t xml:space="preserve">the </w:t>
      </w:r>
      <w:r w:rsidR="003F7747" w:rsidRPr="008E5710">
        <w:rPr>
          <w:sz w:val="22"/>
          <w:szCs w:val="22"/>
        </w:rPr>
        <w:t xml:space="preserve">machine appears to be running safely without vibration. </w:t>
      </w:r>
    </w:p>
    <w:p w:rsidR="003F7747" w:rsidRDefault="003F7747" w:rsidP="00600538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If vibration occurs the centrifuge should be stopped immediately, allowed to stop moving completely,</w:t>
      </w:r>
      <w:r w:rsidR="007B5E9D">
        <w:rPr>
          <w:sz w:val="22"/>
          <w:szCs w:val="22"/>
        </w:rPr>
        <w:t xml:space="preserve"> opened and load balances </w:t>
      </w:r>
      <w:r>
        <w:rPr>
          <w:sz w:val="22"/>
          <w:szCs w:val="22"/>
        </w:rPr>
        <w:t xml:space="preserve">checked. </w:t>
      </w:r>
    </w:p>
    <w:p w:rsidR="003F7747" w:rsidRDefault="003F7747" w:rsidP="00600538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Sometimes a large noise or vibration might indicate a vial has opened.  If a spill is noticed while it is running, turn off the centrifuge, notify others in the laboratory and evacuate if necessary. </w:t>
      </w:r>
    </w:p>
    <w:p w:rsidR="003F7747" w:rsidRDefault="003F7747" w:rsidP="00600538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Post a</w:t>
      </w:r>
      <w:r w:rsidR="007B5E9D">
        <w:rPr>
          <w:sz w:val="22"/>
          <w:szCs w:val="22"/>
        </w:rPr>
        <w:t xml:space="preserve"> temporary hazard warning sign on the door of the Lab.</w:t>
      </w:r>
    </w:p>
    <w:p w:rsidR="003F7747" w:rsidRPr="001013AC" w:rsidRDefault="003F7747" w:rsidP="00600538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Notify </w:t>
      </w:r>
      <w:r w:rsidR="005201E7">
        <w:rPr>
          <w:sz w:val="22"/>
          <w:szCs w:val="22"/>
        </w:rPr>
        <w:t>the Study F</w:t>
      </w:r>
      <w:r>
        <w:rPr>
          <w:sz w:val="22"/>
          <w:szCs w:val="22"/>
        </w:rPr>
        <w:t>ellow and</w:t>
      </w:r>
      <w:r w:rsidR="005201E7">
        <w:rPr>
          <w:sz w:val="22"/>
          <w:szCs w:val="22"/>
        </w:rPr>
        <w:t xml:space="preserve">/or </w:t>
      </w:r>
      <w:r>
        <w:rPr>
          <w:sz w:val="22"/>
          <w:szCs w:val="22"/>
        </w:rPr>
        <w:t xml:space="preserve">Principle </w:t>
      </w:r>
      <w:r w:rsidR="002B63D3">
        <w:rPr>
          <w:sz w:val="22"/>
          <w:szCs w:val="22"/>
        </w:rPr>
        <w:t>Investigator</w:t>
      </w:r>
      <w:r>
        <w:rPr>
          <w:sz w:val="22"/>
          <w:szCs w:val="22"/>
        </w:rPr>
        <w:t>.</w:t>
      </w:r>
    </w:p>
    <w:p w:rsidR="003F7747" w:rsidRPr="00A649F7" w:rsidRDefault="003F7747" w:rsidP="00600538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 not attempt to open the door while the centrifuge is still in operation.</w:t>
      </w:r>
    </w:p>
    <w:p w:rsidR="003F7747" w:rsidRDefault="003F7747" w:rsidP="00600538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Once the centrifuge has stopped, do not open the lid or disturb the centrifuge for 30 minutes to allow the aerosols to settle.</w:t>
      </w:r>
      <w:r w:rsidRPr="00F062C2">
        <w:rPr>
          <w:sz w:val="22"/>
          <w:szCs w:val="22"/>
        </w:rPr>
        <w:t xml:space="preserve"> </w:t>
      </w:r>
    </w:p>
    <w:p w:rsidR="003F7747" w:rsidRPr="00F062C2" w:rsidRDefault="003F7747" w:rsidP="00600538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If you are alone and not able to clean the spill, contact a senior member of the team.</w:t>
      </w:r>
    </w:p>
    <w:p w:rsidR="003F7747" w:rsidRPr="00956A0C" w:rsidRDefault="007B5E9D" w:rsidP="00956A0C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3F7747">
        <w:rPr>
          <w:sz w:val="22"/>
          <w:szCs w:val="22"/>
        </w:rPr>
        <w:t>lean the in</w:t>
      </w:r>
      <w:r>
        <w:rPr>
          <w:sz w:val="22"/>
          <w:szCs w:val="22"/>
        </w:rPr>
        <w:t xml:space="preserve">side of the centrifuge using the </w:t>
      </w:r>
      <w:r w:rsidR="003F7747">
        <w:rPr>
          <w:sz w:val="22"/>
          <w:szCs w:val="22"/>
        </w:rPr>
        <w:t>spray bottle of Chemgene, which is located in the cupboard under the</w:t>
      </w:r>
      <w:r>
        <w:rPr>
          <w:sz w:val="22"/>
          <w:szCs w:val="22"/>
        </w:rPr>
        <w:t xml:space="preserve"> OCMR Lab</w:t>
      </w:r>
      <w:r w:rsidR="003F7747">
        <w:rPr>
          <w:sz w:val="22"/>
          <w:szCs w:val="22"/>
        </w:rPr>
        <w:t xml:space="preserve"> </w:t>
      </w:r>
      <w:r w:rsidR="003F7747" w:rsidRPr="00956A0C">
        <w:rPr>
          <w:sz w:val="22"/>
          <w:szCs w:val="22"/>
        </w:rPr>
        <w:t>‘dirty’ sink.</w:t>
      </w:r>
    </w:p>
    <w:p w:rsidR="003F7747" w:rsidRDefault="003F7747" w:rsidP="00600538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Open the centrifuge carefully </w:t>
      </w:r>
      <w:r w:rsidR="005C4DD3">
        <w:rPr>
          <w:sz w:val="22"/>
          <w:szCs w:val="22"/>
        </w:rPr>
        <w:t>to avoid disturbing the spillage</w:t>
      </w:r>
      <w:r>
        <w:rPr>
          <w:sz w:val="22"/>
          <w:szCs w:val="22"/>
        </w:rPr>
        <w:t xml:space="preserve"> which may be on the inside of the lid. </w:t>
      </w:r>
      <w:r w:rsidR="0046194D">
        <w:rPr>
          <w:sz w:val="22"/>
          <w:szCs w:val="22"/>
        </w:rPr>
        <w:t xml:space="preserve">Turn off machine and disconnect from power source. </w:t>
      </w:r>
    </w:p>
    <w:p w:rsidR="003F7747" w:rsidRDefault="003F7747" w:rsidP="00600538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Assess the extent of the spill and the damage to the components inside.</w:t>
      </w:r>
    </w:p>
    <w:p w:rsidR="003F7747" w:rsidRDefault="003F7747" w:rsidP="00600538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Remove any sharp objects with forceps and place in a sealable container.  Place the container in a sharps bin.</w:t>
      </w:r>
    </w:p>
    <w:p w:rsidR="003F7747" w:rsidRPr="00F062C2" w:rsidRDefault="003F7747" w:rsidP="00600538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Care</w:t>
      </w:r>
      <w:r w:rsidR="00956A0C">
        <w:rPr>
          <w:sz w:val="22"/>
          <w:szCs w:val="22"/>
        </w:rPr>
        <w:t>fully remove b</w:t>
      </w:r>
      <w:r w:rsidR="007B5E9D">
        <w:rPr>
          <w:sz w:val="22"/>
          <w:szCs w:val="22"/>
        </w:rPr>
        <w:t>uckets and rotor.</w:t>
      </w:r>
      <w:r w:rsidR="005C4DD3">
        <w:rPr>
          <w:sz w:val="22"/>
          <w:szCs w:val="22"/>
        </w:rPr>
        <w:t xml:space="preserve"> To remove the rotor locate the</w:t>
      </w:r>
      <w:r w:rsidR="0046194D">
        <w:rPr>
          <w:sz w:val="22"/>
          <w:szCs w:val="22"/>
        </w:rPr>
        <w:t xml:space="preserve"> </w:t>
      </w:r>
      <w:r w:rsidR="007B5E9D">
        <w:rPr>
          <w:sz w:val="22"/>
          <w:szCs w:val="22"/>
        </w:rPr>
        <w:t>allen</w:t>
      </w:r>
      <w:r w:rsidR="0046194D">
        <w:rPr>
          <w:sz w:val="22"/>
          <w:szCs w:val="22"/>
        </w:rPr>
        <w:t xml:space="preserve"> key</w:t>
      </w:r>
      <w:r w:rsidR="007B5E9D">
        <w:rPr>
          <w:sz w:val="22"/>
          <w:szCs w:val="22"/>
        </w:rPr>
        <w:t xml:space="preserve"> under the ‘dirty’ sink and</w:t>
      </w:r>
      <w:r w:rsidR="0046194D">
        <w:rPr>
          <w:sz w:val="22"/>
          <w:szCs w:val="22"/>
        </w:rPr>
        <w:t xml:space="preserve"> unscrew</w:t>
      </w:r>
      <w:r w:rsidR="007B5E9D">
        <w:rPr>
          <w:sz w:val="22"/>
          <w:szCs w:val="22"/>
        </w:rPr>
        <w:t xml:space="preserve"> in an anticlockwise</w:t>
      </w:r>
      <w:r w:rsidR="005C4DD3">
        <w:rPr>
          <w:sz w:val="22"/>
          <w:szCs w:val="22"/>
        </w:rPr>
        <w:t xml:space="preserve"> direction. Place</w:t>
      </w:r>
      <w:r w:rsidR="0046194D">
        <w:rPr>
          <w:sz w:val="22"/>
          <w:szCs w:val="22"/>
        </w:rPr>
        <w:t xml:space="preserve"> the rotor</w:t>
      </w:r>
      <w:r w:rsidR="005C4D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a sealable plastic bag inside a sink or in a bucket. Seal it or cover it and put it aside for further cleaning later.  </w:t>
      </w:r>
    </w:p>
    <w:p w:rsidR="005C4DD3" w:rsidRDefault="003F7747" w:rsidP="00600538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Mist the inside of the centrifuge with the Chemgene. If the work surfaces</w:t>
      </w:r>
      <w:r w:rsidR="005C4DD3">
        <w:rPr>
          <w:sz w:val="22"/>
          <w:szCs w:val="22"/>
        </w:rPr>
        <w:t xml:space="preserve"> have been contaminated where contents were moved about</w:t>
      </w:r>
      <w:r>
        <w:rPr>
          <w:sz w:val="22"/>
          <w:szCs w:val="22"/>
        </w:rPr>
        <w:t xml:space="preserve">, spray Chemgene </w:t>
      </w:r>
      <w:r w:rsidR="005C4DD3">
        <w:rPr>
          <w:sz w:val="22"/>
          <w:szCs w:val="22"/>
        </w:rPr>
        <w:t xml:space="preserve">onto these </w:t>
      </w:r>
      <w:r w:rsidR="00CF5FA2">
        <w:rPr>
          <w:sz w:val="22"/>
          <w:szCs w:val="22"/>
        </w:rPr>
        <w:t>surfaces</w:t>
      </w:r>
      <w:r w:rsidR="005C4DD3">
        <w:rPr>
          <w:sz w:val="22"/>
          <w:szCs w:val="22"/>
        </w:rPr>
        <w:t xml:space="preserve"> too.</w:t>
      </w:r>
    </w:p>
    <w:p w:rsidR="003F7747" w:rsidRDefault="003F7747" w:rsidP="00600538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Leave for a </w:t>
      </w:r>
      <w:r w:rsidR="00CF5FA2">
        <w:rPr>
          <w:b/>
          <w:sz w:val="22"/>
          <w:szCs w:val="22"/>
        </w:rPr>
        <w:t>minimum of 10</w:t>
      </w:r>
      <w:r w:rsidRPr="00600538">
        <w:rPr>
          <w:b/>
          <w:sz w:val="22"/>
          <w:szCs w:val="22"/>
        </w:rPr>
        <w:t xml:space="preserve"> minutes</w:t>
      </w:r>
      <w:r>
        <w:rPr>
          <w:sz w:val="22"/>
          <w:szCs w:val="22"/>
        </w:rPr>
        <w:t xml:space="preserve"> disinfection time.</w:t>
      </w:r>
    </w:p>
    <w:p w:rsidR="002D4DD6" w:rsidRPr="00600538" w:rsidRDefault="005201E7" w:rsidP="0060053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600538">
        <w:rPr>
          <w:sz w:val="22"/>
          <w:szCs w:val="22"/>
        </w:rPr>
        <w:t>fter the allocated time</w:t>
      </w:r>
      <w:r>
        <w:rPr>
          <w:sz w:val="22"/>
          <w:szCs w:val="22"/>
        </w:rPr>
        <w:t>,</w:t>
      </w:r>
      <w:r w:rsidRPr="00600538">
        <w:rPr>
          <w:sz w:val="22"/>
          <w:szCs w:val="22"/>
        </w:rPr>
        <w:t xml:space="preserve"> </w:t>
      </w:r>
      <w:r>
        <w:rPr>
          <w:sz w:val="22"/>
          <w:szCs w:val="22"/>
        </w:rPr>
        <w:t>wi</w:t>
      </w:r>
      <w:r w:rsidR="003F7747" w:rsidRPr="00600538">
        <w:rPr>
          <w:sz w:val="22"/>
          <w:szCs w:val="22"/>
        </w:rPr>
        <w:t xml:space="preserve">pe the Chemgene off the inside of the centrifuge </w:t>
      </w:r>
      <w:r>
        <w:rPr>
          <w:sz w:val="22"/>
          <w:szCs w:val="22"/>
        </w:rPr>
        <w:t xml:space="preserve">with dry paper towels. </w:t>
      </w:r>
      <w:r w:rsidR="003F7747" w:rsidRPr="00600538">
        <w:rPr>
          <w:sz w:val="22"/>
          <w:szCs w:val="22"/>
        </w:rPr>
        <w:t>Follow this by rinsing the inside out with paper to</w:t>
      </w:r>
      <w:r w:rsidR="00600538">
        <w:rPr>
          <w:sz w:val="22"/>
          <w:szCs w:val="22"/>
        </w:rPr>
        <w:t xml:space="preserve">wels soaked with tap water.  </w:t>
      </w:r>
    </w:p>
    <w:p w:rsidR="003F7747" w:rsidRDefault="003F7747" w:rsidP="00600538">
      <w:pPr>
        <w:jc w:val="both"/>
        <w:rPr>
          <w:sz w:val="22"/>
          <w:szCs w:val="22"/>
        </w:rPr>
      </w:pPr>
    </w:p>
    <w:p w:rsidR="003F7747" w:rsidRDefault="00600538" w:rsidP="00600538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3F7747">
        <w:rPr>
          <w:sz w:val="22"/>
          <w:szCs w:val="22"/>
        </w:rPr>
        <w:t>sed paper towel</w:t>
      </w:r>
      <w:r>
        <w:rPr>
          <w:sz w:val="22"/>
          <w:szCs w:val="22"/>
        </w:rPr>
        <w:t>s</w:t>
      </w:r>
      <w:r w:rsidR="003F7747">
        <w:rPr>
          <w:sz w:val="22"/>
          <w:szCs w:val="22"/>
        </w:rPr>
        <w:t xml:space="preserve"> should </w:t>
      </w:r>
      <w:r w:rsidR="00CF5FA2">
        <w:rPr>
          <w:sz w:val="22"/>
          <w:szCs w:val="22"/>
        </w:rPr>
        <w:t xml:space="preserve">be discarded into a </w:t>
      </w:r>
      <w:r w:rsidR="003F7747">
        <w:rPr>
          <w:sz w:val="22"/>
          <w:szCs w:val="22"/>
        </w:rPr>
        <w:t xml:space="preserve">clinical waste bin. </w:t>
      </w:r>
    </w:p>
    <w:p w:rsidR="003F7747" w:rsidRDefault="003F7747" w:rsidP="00600538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Leave the lid of the centrifuge open and leave to </w:t>
      </w:r>
      <w:r w:rsidRPr="00600538">
        <w:rPr>
          <w:b/>
          <w:sz w:val="22"/>
          <w:szCs w:val="22"/>
        </w:rPr>
        <w:t>air dry for 4 hours.</w:t>
      </w:r>
      <w:r>
        <w:rPr>
          <w:sz w:val="22"/>
          <w:szCs w:val="22"/>
        </w:rPr>
        <w:t xml:space="preserve"> </w:t>
      </w:r>
      <w:r w:rsidR="005C4DD3">
        <w:rPr>
          <w:sz w:val="22"/>
          <w:szCs w:val="22"/>
        </w:rPr>
        <w:t xml:space="preserve">Place a sign to indicate to prohibit </w:t>
      </w:r>
      <w:r>
        <w:rPr>
          <w:sz w:val="22"/>
          <w:szCs w:val="22"/>
        </w:rPr>
        <w:t>use for this period of time.</w:t>
      </w:r>
    </w:p>
    <w:p w:rsidR="003F7747" w:rsidRPr="00600538" w:rsidRDefault="00600538" w:rsidP="00600538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Spray </w:t>
      </w:r>
      <w:r w:rsidR="003F7747">
        <w:rPr>
          <w:sz w:val="22"/>
          <w:szCs w:val="22"/>
        </w:rPr>
        <w:t>C</w:t>
      </w:r>
      <w:r>
        <w:rPr>
          <w:sz w:val="22"/>
          <w:szCs w:val="22"/>
        </w:rPr>
        <w:t xml:space="preserve">hemgene over the removed parts </w:t>
      </w:r>
      <w:r w:rsidR="003F7747">
        <w:rPr>
          <w:sz w:val="22"/>
          <w:szCs w:val="22"/>
        </w:rPr>
        <w:t xml:space="preserve">and </w:t>
      </w:r>
      <w:r>
        <w:rPr>
          <w:sz w:val="22"/>
          <w:szCs w:val="22"/>
        </w:rPr>
        <w:t>leave to soak for ten minutes. R</w:t>
      </w:r>
      <w:r w:rsidR="003F7747" w:rsidRPr="00600538">
        <w:rPr>
          <w:sz w:val="22"/>
          <w:szCs w:val="22"/>
        </w:rPr>
        <w:t>inse thoroughly with tap water.  Leave them on some paper towels by the open cent</w:t>
      </w:r>
      <w:r>
        <w:rPr>
          <w:sz w:val="22"/>
          <w:szCs w:val="22"/>
        </w:rPr>
        <w:t xml:space="preserve">rifuge to air dry for 4 hours. </w:t>
      </w:r>
      <w:r w:rsidR="003F7747" w:rsidRPr="00600538">
        <w:rPr>
          <w:sz w:val="22"/>
          <w:szCs w:val="22"/>
        </w:rPr>
        <w:t>Place another sign by these parts to prevent them being disturbed in this time.</w:t>
      </w:r>
    </w:p>
    <w:p w:rsidR="003F7747" w:rsidRDefault="003F7747" w:rsidP="00600538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Collect the clinical waste bag from the bin where the waste products were disposed and seal with a tag.  Seal the sharps bin and document on the side.  Transfer these both to the waste collection point. </w:t>
      </w:r>
    </w:p>
    <w:p w:rsidR="003F7747" w:rsidRDefault="005201E7" w:rsidP="00600538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Remove PPE and clean</w:t>
      </w:r>
      <w:r w:rsidR="003F7747">
        <w:rPr>
          <w:sz w:val="22"/>
          <w:szCs w:val="22"/>
        </w:rPr>
        <w:t xml:space="preserve"> hands thoroughly.</w:t>
      </w:r>
    </w:p>
    <w:p w:rsidR="003F7747" w:rsidRDefault="003F7747" w:rsidP="00600538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Once the 4 hours are complete</w:t>
      </w:r>
      <w:r w:rsidR="005C4DD3">
        <w:rPr>
          <w:sz w:val="22"/>
          <w:szCs w:val="22"/>
        </w:rPr>
        <w:t>,</w:t>
      </w:r>
      <w:r>
        <w:rPr>
          <w:sz w:val="22"/>
          <w:szCs w:val="22"/>
        </w:rPr>
        <w:t xml:space="preserve"> the centrifuge is ready to use.  Replace the removed parts as instructed by the user’s manual. Remove any signs set up during this procedure and file away for future use. </w:t>
      </w:r>
    </w:p>
    <w:p w:rsidR="003F7747" w:rsidRDefault="003F7747" w:rsidP="00600538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Leave the lid of centrifuge in the up/open position when not in use.</w:t>
      </w:r>
    </w:p>
    <w:p w:rsidR="003F7747" w:rsidRDefault="003F7747" w:rsidP="00600538">
      <w:pPr>
        <w:pStyle w:val="Default"/>
        <w:spacing w:after="1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.</w:t>
      </w:r>
    </w:p>
    <w:p w:rsidR="003F7747" w:rsidRDefault="003F7747" w:rsidP="00600538">
      <w:pPr>
        <w:pStyle w:val="Default"/>
        <w:spacing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Maintenance</w:t>
      </w:r>
    </w:p>
    <w:p w:rsidR="003F7747" w:rsidRDefault="003F7747" w:rsidP="00600538">
      <w:pPr>
        <w:pStyle w:val="Default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Refer to user’s manual for detailed maintenance and care of the centrifuge. </w:t>
      </w:r>
    </w:p>
    <w:p w:rsidR="003F7747" w:rsidRDefault="003F7747" w:rsidP="00600538">
      <w:pPr>
        <w:pStyle w:val="Default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Avoid mechanical scratches. The smallest and scarcely visible scratch will enlarge the fracture</w:t>
      </w:r>
      <w:r w:rsidR="00600538">
        <w:rPr>
          <w:sz w:val="22"/>
          <w:szCs w:val="22"/>
        </w:rPr>
        <w:t xml:space="preserve">, which is subjected to extreme </w:t>
      </w:r>
      <w:r>
        <w:rPr>
          <w:sz w:val="22"/>
          <w:szCs w:val="22"/>
        </w:rPr>
        <w:t>forces at high G’s – this can potentially lead to r</w:t>
      </w:r>
      <w:r w:rsidR="005C4DD3">
        <w:rPr>
          <w:sz w:val="22"/>
          <w:szCs w:val="22"/>
        </w:rPr>
        <w:t>otor damage.</w:t>
      </w:r>
    </w:p>
    <w:p w:rsidR="003F7747" w:rsidRDefault="003F7747" w:rsidP="00600538">
      <w:pPr>
        <w:pStyle w:val="Default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a centrifuge is experiencing problems or maintenance is required, the unit must be immediately taken out of service, disconnected from the power source and clearly marked DO NOT USE until serviced. </w:t>
      </w:r>
    </w:p>
    <w:p w:rsidR="00CF5FA2" w:rsidRDefault="00CF5FA2" w:rsidP="00CF5FA2">
      <w:pPr>
        <w:pStyle w:val="Default"/>
        <w:spacing w:after="120"/>
        <w:jc w:val="both"/>
        <w:rPr>
          <w:sz w:val="22"/>
          <w:szCs w:val="22"/>
        </w:rPr>
      </w:pPr>
    </w:p>
    <w:p w:rsidR="001E77FD" w:rsidRDefault="001E77FD" w:rsidP="001E77FD">
      <w:pPr>
        <w:pStyle w:val="Default"/>
        <w:spacing w:after="120"/>
        <w:jc w:val="both"/>
        <w:rPr>
          <w:sz w:val="22"/>
          <w:szCs w:val="22"/>
        </w:rPr>
      </w:pPr>
    </w:p>
    <w:p w:rsidR="005C4DD3" w:rsidRDefault="005C4DD3" w:rsidP="005C4DD3">
      <w:pPr>
        <w:shd w:val="clear" w:color="auto" w:fill="FFFFFF"/>
        <w:spacing w:before="432" w:after="120"/>
        <w:outlineLvl w:val="1"/>
        <w:rPr>
          <w:rFonts w:ascii="Trebuchet MS" w:hAnsi="Trebuchet MS" w:cs="Times New Roman"/>
          <w:b/>
          <w:bCs/>
          <w:color w:val="002B5F"/>
          <w:sz w:val="31"/>
          <w:szCs w:val="31"/>
        </w:rPr>
      </w:pPr>
    </w:p>
    <w:p w:rsidR="005C4DD3" w:rsidRDefault="005C4DD3" w:rsidP="005C4DD3">
      <w:pPr>
        <w:shd w:val="clear" w:color="auto" w:fill="FFFFFF"/>
        <w:spacing w:before="432" w:after="120"/>
        <w:outlineLvl w:val="1"/>
        <w:rPr>
          <w:rFonts w:ascii="Trebuchet MS" w:hAnsi="Trebuchet MS" w:cs="Times New Roman"/>
          <w:b/>
          <w:bCs/>
          <w:color w:val="002B5F"/>
          <w:sz w:val="31"/>
          <w:szCs w:val="31"/>
        </w:rPr>
      </w:pPr>
    </w:p>
    <w:p w:rsidR="005C4DD3" w:rsidRDefault="005C4DD3" w:rsidP="005C4DD3">
      <w:pPr>
        <w:shd w:val="clear" w:color="auto" w:fill="FFFFFF"/>
        <w:spacing w:before="432" w:after="120"/>
        <w:outlineLvl w:val="1"/>
        <w:rPr>
          <w:rFonts w:ascii="Trebuchet MS" w:hAnsi="Trebuchet MS" w:cs="Times New Roman"/>
          <w:b/>
          <w:bCs/>
          <w:color w:val="002B5F"/>
          <w:sz w:val="31"/>
          <w:szCs w:val="31"/>
        </w:rPr>
      </w:pPr>
    </w:p>
    <w:p w:rsidR="005C4DD3" w:rsidRDefault="005C4DD3" w:rsidP="005C4DD3">
      <w:pPr>
        <w:shd w:val="clear" w:color="auto" w:fill="FFFFFF"/>
        <w:spacing w:before="432" w:after="120"/>
        <w:outlineLvl w:val="1"/>
        <w:rPr>
          <w:rFonts w:ascii="Trebuchet MS" w:hAnsi="Trebuchet MS" w:cs="Times New Roman"/>
          <w:b/>
          <w:bCs/>
          <w:color w:val="002B5F"/>
          <w:sz w:val="31"/>
          <w:szCs w:val="31"/>
        </w:rPr>
      </w:pPr>
    </w:p>
    <w:p w:rsidR="005C4DD3" w:rsidRDefault="005C4DD3" w:rsidP="005C4DD3">
      <w:pPr>
        <w:shd w:val="clear" w:color="auto" w:fill="FFFFFF"/>
        <w:spacing w:before="432" w:after="120"/>
        <w:outlineLvl w:val="1"/>
        <w:rPr>
          <w:rFonts w:ascii="Trebuchet MS" w:hAnsi="Trebuchet MS" w:cs="Times New Roman"/>
          <w:b/>
          <w:bCs/>
          <w:color w:val="002B5F"/>
          <w:sz w:val="31"/>
          <w:szCs w:val="31"/>
        </w:rPr>
      </w:pPr>
    </w:p>
    <w:p w:rsidR="00956A0C" w:rsidRPr="00FB5564" w:rsidRDefault="00956A0C" w:rsidP="00FB5564">
      <w:pPr>
        <w:rPr>
          <w:rFonts w:ascii="Verdana" w:hAnsi="Verdana"/>
          <w:color w:val="404040" w:themeColor="text1" w:themeTint="BF"/>
          <w:sz w:val="22"/>
          <w:szCs w:val="22"/>
        </w:rPr>
      </w:pPr>
    </w:p>
    <w:p w:rsidR="00956A0C" w:rsidRPr="00FB5564" w:rsidRDefault="00956A0C" w:rsidP="00FB5564">
      <w:pPr>
        <w:rPr>
          <w:rFonts w:ascii="Verdana" w:hAnsi="Verdana"/>
          <w:color w:val="404040" w:themeColor="text1" w:themeTint="BF"/>
          <w:sz w:val="22"/>
          <w:szCs w:val="22"/>
        </w:rPr>
      </w:pPr>
    </w:p>
    <w:sectPr w:rsidR="00956A0C" w:rsidRPr="00FB556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DBB" w:rsidRDefault="00A95DBB" w:rsidP="002B63D3">
      <w:r>
        <w:separator/>
      </w:r>
    </w:p>
  </w:endnote>
  <w:endnote w:type="continuationSeparator" w:id="0">
    <w:p w:rsidR="00A95DBB" w:rsidRDefault="00A95DBB" w:rsidP="002B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1E7" w:rsidRDefault="005201E7">
    <w:pPr>
      <w:pStyle w:val="Footer"/>
      <w:rPr>
        <w:sz w:val="22"/>
        <w:szCs w:val="22"/>
      </w:rPr>
    </w:pPr>
    <w:r>
      <w:rPr>
        <w:sz w:val="22"/>
        <w:szCs w:val="22"/>
      </w:rPr>
      <w:t>Guidelines for management of spill/ breakage inside centrifuge.</w:t>
    </w:r>
  </w:p>
  <w:p w:rsidR="002B63D3" w:rsidRPr="002B63D3" w:rsidRDefault="005201E7">
    <w:pPr>
      <w:pStyle w:val="Footer"/>
      <w:rPr>
        <w:sz w:val="22"/>
        <w:szCs w:val="22"/>
      </w:rPr>
    </w:pPr>
    <w:r>
      <w:rPr>
        <w:sz w:val="22"/>
        <w:szCs w:val="22"/>
      </w:rPr>
      <w:t>C</w:t>
    </w:r>
    <w:r w:rsidR="002B63D3" w:rsidRPr="002B63D3">
      <w:rPr>
        <w:sz w:val="22"/>
        <w:szCs w:val="22"/>
      </w:rPr>
      <w:t>reated 23/09/2019 Version (1)  C.Krasopoulos</w:t>
    </w:r>
  </w:p>
  <w:p w:rsidR="002B63D3" w:rsidRDefault="002B63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DBB" w:rsidRDefault="00A95DBB" w:rsidP="002B63D3">
      <w:r>
        <w:separator/>
      </w:r>
    </w:p>
  </w:footnote>
  <w:footnote w:type="continuationSeparator" w:id="0">
    <w:p w:rsidR="00A95DBB" w:rsidRDefault="00A95DBB" w:rsidP="002B6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45C0"/>
    <w:multiLevelType w:val="multilevel"/>
    <w:tmpl w:val="F92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84383"/>
    <w:multiLevelType w:val="hybridMultilevel"/>
    <w:tmpl w:val="E1B45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07079"/>
    <w:multiLevelType w:val="multilevel"/>
    <w:tmpl w:val="5CACCA1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93D7482"/>
    <w:multiLevelType w:val="hybridMultilevel"/>
    <w:tmpl w:val="F76C9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20F6C"/>
    <w:multiLevelType w:val="hybridMultilevel"/>
    <w:tmpl w:val="A5FA1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67F17"/>
    <w:multiLevelType w:val="hybridMultilevel"/>
    <w:tmpl w:val="BEC28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9267F"/>
    <w:multiLevelType w:val="hybridMultilevel"/>
    <w:tmpl w:val="30AA4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47"/>
    <w:rsid w:val="001E77FD"/>
    <w:rsid w:val="00205FAE"/>
    <w:rsid w:val="002B63D3"/>
    <w:rsid w:val="002D4DD6"/>
    <w:rsid w:val="003F7747"/>
    <w:rsid w:val="0046194D"/>
    <w:rsid w:val="005201E7"/>
    <w:rsid w:val="005400EE"/>
    <w:rsid w:val="005C4DD3"/>
    <w:rsid w:val="00600538"/>
    <w:rsid w:val="00682810"/>
    <w:rsid w:val="007B5E9D"/>
    <w:rsid w:val="008E5710"/>
    <w:rsid w:val="00956A0C"/>
    <w:rsid w:val="00A95DBB"/>
    <w:rsid w:val="00B2114D"/>
    <w:rsid w:val="00BE0ED0"/>
    <w:rsid w:val="00C72F9F"/>
    <w:rsid w:val="00CF5FA2"/>
    <w:rsid w:val="00E71DB8"/>
    <w:rsid w:val="00FB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44B04-8917-4B0A-A379-B7BCFD0C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747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77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005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63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D3"/>
    <w:rPr>
      <w:rFonts w:ascii="Arial" w:eastAsia="Times New Roman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B63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D3"/>
    <w:rPr>
      <w:rFonts w:ascii="Arial" w:eastAsia="Times New Roman" w:hAnsi="Arial" w:cs="Arial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E77F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1E77FD"/>
    <w:rPr>
      <w:i/>
      <w:iCs/>
    </w:rPr>
  </w:style>
  <w:style w:type="character" w:styleId="Strong">
    <w:name w:val="Strong"/>
    <w:basedOn w:val="DefaultParagraphFont"/>
    <w:uiPriority w:val="22"/>
    <w:qFormat/>
    <w:rsid w:val="001E77F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C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3358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Krasopoulos</dc:creator>
  <cp:keywords/>
  <dc:description/>
  <cp:lastModifiedBy>Kathryn Lacey</cp:lastModifiedBy>
  <cp:revision>2</cp:revision>
  <dcterms:created xsi:type="dcterms:W3CDTF">2019-11-01T15:22:00Z</dcterms:created>
  <dcterms:modified xsi:type="dcterms:W3CDTF">2019-11-01T15:22:00Z</dcterms:modified>
</cp:coreProperties>
</file>